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264</w:t>
      </w:r>
    </w:p>
    <w:p>
      <w:r>
        <w:t>Bundesgericht (BGE), 2006-01-23, DE</w:t>
      </w:r>
    </w:p>
    <w:p>
      <w:r>
        <w:rPr>
          <w:b/>
        </w:rPr>
        <w:t xml:space="preserve">Quelle: </w:t>
      </w:r>
      <w:r>
        <w:t>https://mcp.opencaselaw.ch/entscheid/bge_132 III 264</w:t>
      </w:r>
    </w:p>
    <w:p>
      <w:r>
        <w:t>FR: ATF 132 III 264</w:t>
      </w:r>
    </w:p>
    <w:p>
      <w:r>
        <w:t>IT: DTF 132 III 264</w:t>
      </w:r>
    </w:p>
    <w:p>
      <w:pPr>
        <w:pStyle w:val="Heading2"/>
      </w:pPr>
      <w:r>
        <w:t>Regeste</w:t>
      </w:r>
    </w:p>
    <w:p>
      <w:r>
        <w:t>Regeste Vertragsänderung und Neuabschluss beim Versicherungsvertrag. Das Ausfüllen einer neuen Gesundheitsdeklaration deutet auf den Abschluss eines neuen Versicherungsvertrages (E. 2).</w:t>
      </w:r>
    </w:p>
    <w:p>
      <w:pPr>
        <w:pStyle w:val="Heading2"/>
      </w:pPr>
      <w:r>
        <w:t>Erwägungen</w:t>
      </w:r>
    </w:p>
    <w:p>
      <w:r>
        <w:rPr>
          <w:b/>
        </w:rPr>
        <w:t>E. 2</w:t>
      </w:r>
    </w:p>
    <w:p>
      <w:r>
        <w:t>Zwischen den Parteien ist strittig, ob in den Jahren 1995, 1996 und 1998 jeweils ein neuer Versicherungsvertrag abgeschlossen (Klägerin) oder lediglich der ursprüngliche vom 20. Februar 1992 modifiziert worden ist (Beklagte). Letzterenfalls wäre der zeitlich nicht limitierte Fragenkatalog vom 19. Februar 1992, auf dessen Basis die Beklagte mit Bezug auf den verschwiegenen Spitalaufenthalt im Jahr 1977 eine Anzeigepflichtverletzung behauptet hat, nach wie vor verbindlich.</w:t>
      </w:r>
    </w:p>
    <w:p>
      <w:r>
        <w:rPr>
          <w:b/>
        </w:rPr>
        <w:t>E. 2.1</w:t>
      </w:r>
    </w:p>
    <w:p>
      <w:r>
        <w:t>Die Abgrenzung zwischen Abschluss eines neuen Versicherungsvertrages und blosser Änderung des bestehenden Vertrages kann im Einzelfall schwierig sein. Um einen Neuabschluss handelt es sich regelmässig, wenn der Vertragsgegenstand wesentliche Änderungen erfahren hat, namentlich wenn die versicherten Risiken ausgedehnt worden sind (vgl. STOESSEL, in: Basler Kommentar, Bundesgesetz über den Versicherungsvertrag, N. 12 zu Art. 2 VVG ; CARRÉ, Loi fédérale sur le contrat d'assurance, Lausanne 2000, S. 117). Desgleichen deutet die Änderung der Laufzeit der Versicherung auf einen neuen Vertrag hin (PRÖLSS/MARTIN, Versicherungsvertragsgesetz, 27. Aufl., München 2004, N. 7 zu § 3 deutsches VVG; vgl. auch MAURER, Schweizerisches Privatversicherungsrecht, 3. Aufl., Bern BGE 132 III 264 S. 266 1995, S. 228). Als blosse Vertragsänderungen werden demgegenüber die Herabsetzung der Versicherungssumme, aber auch die Einschränkung der versicherten Risiken angesehen, namentlich der Wechsel von einer Voll- zur Teilkaskoversicherung ( BGE 120 II 133 E. 4b S. 135; STOESSEL, a.a.O., N. 14 zu Art. 2 VVG ; CARRÉ, a.a.O., S. 117). Umstritten ist die Einordnung der sog. Nachversicherung: Sie fällt kraft ausdrücklicher Gesetzesbestimmung ( Art. 2 Abs. 3 VVG ) nicht unter Art. 2 VVG ; vielmehr kommt hier Art. 1 VVG zur Anwendung (STOESSEL, a.a.O., N. 16 zu Art. 2 VVG ). Während ein Teil der Lehre deshalb einen neuen Vertrag annimmt (ROELLI, Kommentar zum VVG, Bd. I, Bern 1914, S. 44), geht ein anderer Teil dennoch von einer blossen Vertragsänderung aus mit der Begründung, der Parteiwille sei nicht auf einen Neuabschluss gerichtet (ROELLI/KELLER/ TÄNNLER, Kommentar zum VVG, Bd. I, Bern 1968, S. 58). Wie es sich mit den beiden Nachversicherungen aus den Jahren 1995 und 1998 verhält, kann vorliegend offen gelassen werden, weil die Klage ohnehin aus einem anderen Grund gutzuheissen ist (nachfolgend E. 2.2).</w:t>
      </w:r>
    </w:p>
    <w:p>
      <w:r>
        <w:rPr>
          <w:b/>
        </w:rPr>
        <w:t>E. 2.2</w:t>
      </w:r>
    </w:p>
    <w:p>
      <w:r>
        <w:t>Im Unterschied zu den Jahren 1995 und 1998 wurden 1996 nicht die Versicherungssummen erhöht, sondern die versicherten Risiken erweitert, indem am 6. Februar 1996 der Unfalltod als versichertes Ereignis miteingeschlossen wurde. In diesem Zusammenhang musste die Klägerin eine neue Gesundheitsdeklaration ausfüllen. Nun gehört aber die Anzeigepflicht nach der Marginalie zu Art. 4 Abs. 1 VVG zu den Obliegenheiten des Versicherungsnehmers im Vorfeld des Vertrags abschlusses (vgl. auch NEF, in: Basler Kommentar, Bundesgesetz über den Versicherungsvertrag, Basel 2001, N. 7 zu Art. 4 VVG ); nach Ziff. 4.1 der ins Recht gelegten AGB der Beklagten beschränkt sich die Befreiung von der Gesundheitsdeklaration denn auch ausdrücklich auf die Nachversicherung. Sodann sind aus den Akten keine Anhaltspunkte ersichtlich, wonach die Gefahrendeklaration sich nicht auf den Versicherungsvertrag als solchen bezogen, sondern auf das neue Risiko des Unfalltodes beschränkt hätte, im Gegenteil, machte doch die Beklagte die Gültigkeit des Vertrages in der von ihr vorformulierten Risikodeklaration explizit von der Richtigkeit und Vollständigkeit der klägerischen Angaben abhängig. Dabei verwies sie auf Art. 6 VVG , der seinerseits von der Anzeigepflichtverletzung beim Abschluss des Vertrages spricht. BGE 132 III 264 S. 267 Nach dem Vertrauensprinzip, das vom Bundesgericht im Berufungsverfahren als Rechtsfrage frei überprüft wird ( BGE 130 III 686 E. 4.3.1 S. 689), können diese Erklärungen der Beklagten nicht anders denn als Willensäusserung zum Abschluss eines neuen Vertrages interpretiert werden. In objektiver Hinsicht spiegelt sich dieser Abschlusswille schliesslich in der Versicherungspolice vom 6. Februar 1996, die nach der Erklärung der Beklagten den bisherigen Versicherungs vertrag (nicht: die bisherige Versicherungs police ) ersetze. Kein anderes Resultat ergäbe sich im Übrigen, wenn man die aktenkundigen Erklärungen der Beklagten nicht nach dem Vertrauensprinzip als Willensäusserung zum Neuabschluss interpretieren, sondern die Auffassung vertreten würde, dass sich diese in guten Treuen verschieden, d.h. auch als Willenskundgabe zur blossen Vertragsänderung verstehen lassen: Diesfalls würde der Grundsatz in dubio contra stipulatorem greifen und die Beklagte müsste sich die für sie ungünstige Auslegungsvariante entgegenhalten lassen ( BGE 122 III 118 E. 2a S. 121; BGE 124 III 155 E. 1b S. 158 f.); sie hätte es denn auch in der Hand gehabt, ihren angeblichen Willen zur blossen Vertragsänderung durch entsprechende Formulierungen gegen aussen unzweideutig zu bekunden.</w:t>
      </w:r>
    </w:p>
    <w:p>
      <w:r>
        <w:rPr>
          <w:b/>
        </w:rPr>
        <w:t>E. 2.3</w:t>
      </w:r>
    </w:p>
    <w:p>
      <w:r>
        <w:t>Haben die Parteien nach dem Gesagten am 6. Februar 1996 einen neuen Versicherungsvertrag geschlossen, so ist die Risikodeklaration aus dem Jahr 1992 hierfür nicht von Belang; relevant ist allein diejenige vom 29. Januar 1996, bei welcher die Beklagte lediglich für die letzten zehn Jahre Auskunft verlangte. Entsprechend kann es der Klägerin nicht zum Nachteil gereichen, wenn sie die Hospitalisation im Jahr 1977 nicht erwähnt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